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08" w:rsidRPr="00C61189" w:rsidRDefault="007D2A54" w:rsidP="009845B3">
      <w:pPr>
        <w:spacing w:after="0"/>
        <w:jc w:val="center"/>
        <w:rPr>
          <w:rFonts w:cstheme="minorHAnsi"/>
          <w:sz w:val="24"/>
          <w:szCs w:val="24"/>
        </w:rPr>
      </w:pPr>
      <w:r w:rsidRPr="00C61189">
        <w:rPr>
          <w:rFonts w:cstheme="minorHAnsi"/>
          <w:sz w:val="24"/>
          <w:szCs w:val="24"/>
        </w:rPr>
        <w:t>Is the International Court of Justice Biased?</w:t>
      </w:r>
    </w:p>
    <w:p w:rsidR="007D2A54" w:rsidRPr="00C61189" w:rsidRDefault="007D2A54" w:rsidP="009845B3">
      <w:pPr>
        <w:spacing w:after="0"/>
        <w:jc w:val="center"/>
        <w:rPr>
          <w:rFonts w:cstheme="minorHAnsi"/>
          <w:sz w:val="24"/>
          <w:szCs w:val="24"/>
        </w:rPr>
      </w:pPr>
      <w:r w:rsidRPr="00C61189">
        <w:rPr>
          <w:rFonts w:cstheme="minorHAnsi"/>
          <w:sz w:val="24"/>
          <w:szCs w:val="24"/>
        </w:rPr>
        <w:t xml:space="preserve">Eric A. Posner and Miguel de </w:t>
      </w:r>
      <w:proofErr w:type="spellStart"/>
      <w:r w:rsidRPr="00C61189">
        <w:rPr>
          <w:rFonts w:cstheme="minorHAnsi"/>
          <w:sz w:val="24"/>
          <w:szCs w:val="24"/>
        </w:rPr>
        <w:t>Figueiredo</w:t>
      </w:r>
      <w:proofErr w:type="spellEnd"/>
    </w:p>
    <w:p w:rsidR="009845B3" w:rsidRPr="00C61189" w:rsidRDefault="009845B3" w:rsidP="009845B3">
      <w:pPr>
        <w:spacing w:after="0"/>
        <w:jc w:val="center"/>
        <w:rPr>
          <w:rFonts w:cstheme="minorHAnsi"/>
          <w:sz w:val="24"/>
          <w:szCs w:val="24"/>
        </w:rPr>
      </w:pPr>
      <w:r w:rsidRPr="00C61189">
        <w:rPr>
          <w:rFonts w:cstheme="minorHAnsi"/>
          <w:sz w:val="24"/>
          <w:szCs w:val="24"/>
        </w:rPr>
        <w:t>December 13, 2004</w:t>
      </w:r>
    </w:p>
    <w:p w:rsidR="009845B3" w:rsidRPr="00C61189" w:rsidRDefault="009845B3" w:rsidP="009845B3">
      <w:pPr>
        <w:spacing w:after="0"/>
        <w:rPr>
          <w:rFonts w:cstheme="minorHAnsi"/>
          <w:sz w:val="24"/>
          <w:szCs w:val="24"/>
        </w:rPr>
      </w:pPr>
    </w:p>
    <w:p w:rsidR="0081030B" w:rsidRPr="00C61189" w:rsidRDefault="009845B3" w:rsidP="00C61189">
      <w:pPr>
        <w:ind w:firstLine="720"/>
        <w:jc w:val="thaiDistribute"/>
        <w:rPr>
          <w:rFonts w:cstheme="minorHAnsi"/>
          <w:sz w:val="24"/>
          <w:szCs w:val="24"/>
        </w:rPr>
      </w:pPr>
      <w:r w:rsidRPr="00C61189">
        <w:rPr>
          <w:rFonts w:cstheme="minorHAnsi"/>
          <w:sz w:val="24"/>
          <w:szCs w:val="24"/>
        </w:rPr>
        <w:t>The International Court of Justice (</w:t>
      </w:r>
      <w:r w:rsidR="009A7C34" w:rsidRPr="00C61189">
        <w:rPr>
          <w:rFonts w:cstheme="minorHAnsi"/>
          <w:sz w:val="24"/>
          <w:szCs w:val="24"/>
        </w:rPr>
        <w:t>ICJ</w:t>
      </w:r>
      <w:r w:rsidRPr="00C61189">
        <w:rPr>
          <w:rFonts w:cstheme="minorHAnsi"/>
          <w:sz w:val="24"/>
          <w:szCs w:val="24"/>
        </w:rPr>
        <w:t>)</w:t>
      </w:r>
      <w:r w:rsidR="009A7C34" w:rsidRPr="00C61189">
        <w:rPr>
          <w:rFonts w:cstheme="minorHAnsi"/>
          <w:sz w:val="24"/>
          <w:szCs w:val="24"/>
        </w:rPr>
        <w:t xml:space="preserve"> is the principal </w:t>
      </w:r>
      <w:r w:rsidR="00CA033D" w:rsidRPr="00C61189">
        <w:rPr>
          <w:rFonts w:cstheme="minorHAnsi"/>
          <w:sz w:val="24"/>
          <w:szCs w:val="24"/>
        </w:rPr>
        <w:t>judicial organ of the United Nations which is the</w:t>
      </w:r>
      <w:r w:rsidRPr="00C61189">
        <w:rPr>
          <w:rFonts w:cstheme="minorHAnsi"/>
          <w:sz w:val="24"/>
          <w:szCs w:val="24"/>
        </w:rPr>
        <w:t xml:space="preserve"> only international court whose role is to</w:t>
      </w:r>
      <w:r w:rsidR="00066A04" w:rsidRPr="00C61189">
        <w:rPr>
          <w:rFonts w:cstheme="minorHAnsi"/>
          <w:sz w:val="24"/>
          <w:szCs w:val="24"/>
        </w:rPr>
        <w:t xml:space="preserve"> settle</w:t>
      </w:r>
      <w:r w:rsidRPr="00C61189">
        <w:rPr>
          <w:rFonts w:cstheme="minorHAnsi"/>
          <w:sz w:val="24"/>
          <w:szCs w:val="24"/>
        </w:rPr>
        <w:t>,</w:t>
      </w:r>
      <w:r w:rsidR="00066A04" w:rsidRPr="00C61189">
        <w:rPr>
          <w:rFonts w:cstheme="minorHAnsi"/>
          <w:sz w:val="24"/>
          <w:szCs w:val="24"/>
        </w:rPr>
        <w:t xml:space="preserve"> </w:t>
      </w:r>
      <w:r w:rsidRPr="00C61189">
        <w:rPr>
          <w:rFonts w:cstheme="minorHAnsi"/>
          <w:sz w:val="24"/>
          <w:szCs w:val="24"/>
        </w:rPr>
        <w:t>in accordance with international law, legal disputes submitted to it by States and to give advisory opinions on legal questions referred to it by authorized United Nations organs and specialized agencies</w:t>
      </w:r>
      <w:r w:rsidRPr="00C61189">
        <w:rPr>
          <w:rStyle w:val="a5"/>
          <w:rFonts w:cstheme="minorHAnsi"/>
          <w:sz w:val="24"/>
          <w:szCs w:val="24"/>
        </w:rPr>
        <w:footnoteReference w:id="1"/>
      </w:r>
      <w:r w:rsidRPr="00C61189">
        <w:rPr>
          <w:rFonts w:cstheme="minorHAnsi"/>
          <w:sz w:val="24"/>
          <w:szCs w:val="24"/>
        </w:rPr>
        <w:t>.</w:t>
      </w:r>
      <w:r w:rsidR="00A724A8" w:rsidRPr="00C61189">
        <w:rPr>
          <w:rFonts w:cstheme="minorHAnsi"/>
          <w:sz w:val="24"/>
          <w:szCs w:val="24"/>
        </w:rPr>
        <w:t xml:space="preserve"> </w:t>
      </w:r>
      <w:r w:rsidR="001F1808" w:rsidRPr="00C61189">
        <w:rPr>
          <w:rFonts w:cstheme="minorHAnsi"/>
          <w:sz w:val="24"/>
          <w:szCs w:val="24"/>
        </w:rPr>
        <w:t xml:space="preserve">Fifteen ICJ judges are nominated by states and later voted by the Security Council and the General Assembly. </w:t>
      </w:r>
      <w:r w:rsidR="00EC6111" w:rsidRPr="00C61189">
        <w:rPr>
          <w:rFonts w:cstheme="minorHAnsi"/>
          <w:sz w:val="24"/>
          <w:szCs w:val="24"/>
        </w:rPr>
        <w:t xml:space="preserve">Seats are distributed by region – Africa, Latin America, Asia, Western Europe and other states, and Eastern Europe. </w:t>
      </w:r>
      <w:r w:rsidR="001F1808" w:rsidRPr="00C61189">
        <w:rPr>
          <w:rFonts w:cstheme="minorHAnsi"/>
          <w:sz w:val="24"/>
          <w:szCs w:val="24"/>
        </w:rPr>
        <w:t xml:space="preserve"> A state </w:t>
      </w:r>
      <w:r w:rsidR="00EC6111" w:rsidRPr="00C61189">
        <w:rPr>
          <w:rFonts w:cstheme="minorHAnsi"/>
          <w:sz w:val="24"/>
          <w:szCs w:val="24"/>
        </w:rPr>
        <w:t xml:space="preserve">party </w:t>
      </w:r>
      <w:r w:rsidR="001F1808" w:rsidRPr="00C61189">
        <w:rPr>
          <w:rFonts w:cstheme="minorHAnsi"/>
          <w:sz w:val="24"/>
          <w:szCs w:val="24"/>
        </w:rPr>
        <w:t xml:space="preserve">may appoint an ad hoc judge if it has no a national serving </w:t>
      </w:r>
      <w:r w:rsidR="008708CB" w:rsidRPr="00C61189">
        <w:rPr>
          <w:rFonts w:cstheme="minorHAnsi"/>
          <w:sz w:val="24"/>
          <w:szCs w:val="24"/>
        </w:rPr>
        <w:t xml:space="preserve">already </w:t>
      </w:r>
      <w:r w:rsidR="001F1808" w:rsidRPr="00C61189">
        <w:rPr>
          <w:rFonts w:cstheme="minorHAnsi"/>
          <w:sz w:val="24"/>
          <w:szCs w:val="24"/>
        </w:rPr>
        <w:t>as a judge.</w:t>
      </w:r>
      <w:r w:rsidR="00EC6111" w:rsidRPr="00C61189">
        <w:rPr>
          <w:rFonts w:cstheme="minorHAnsi"/>
          <w:sz w:val="24"/>
          <w:szCs w:val="24"/>
        </w:rPr>
        <w:t xml:space="preserve"> Critics argue</w:t>
      </w:r>
      <w:r w:rsidR="00CA033D" w:rsidRPr="00C61189">
        <w:rPr>
          <w:rFonts w:cstheme="minorHAnsi"/>
          <w:sz w:val="24"/>
          <w:szCs w:val="24"/>
        </w:rPr>
        <w:t xml:space="preserve"> that </w:t>
      </w:r>
      <w:r w:rsidR="00EC6111" w:rsidRPr="00C61189">
        <w:rPr>
          <w:rFonts w:cstheme="minorHAnsi"/>
          <w:sz w:val="24"/>
          <w:szCs w:val="24"/>
        </w:rPr>
        <w:t>judges vote for the benefit of s</w:t>
      </w:r>
      <w:r w:rsidR="00CA033D" w:rsidRPr="00C61189">
        <w:rPr>
          <w:rFonts w:cstheme="minorHAnsi"/>
          <w:sz w:val="24"/>
          <w:szCs w:val="24"/>
        </w:rPr>
        <w:t>tates who appoint</w:t>
      </w:r>
      <w:r w:rsidR="008708CB" w:rsidRPr="00C61189">
        <w:rPr>
          <w:rFonts w:cstheme="minorHAnsi"/>
          <w:sz w:val="24"/>
          <w:szCs w:val="24"/>
        </w:rPr>
        <w:t>ed</w:t>
      </w:r>
      <w:r w:rsidR="00CA033D" w:rsidRPr="00C61189">
        <w:rPr>
          <w:rFonts w:cstheme="minorHAnsi"/>
          <w:sz w:val="24"/>
          <w:szCs w:val="24"/>
        </w:rPr>
        <w:t xml:space="preserve"> them. </w:t>
      </w:r>
      <w:r w:rsidR="0081030B" w:rsidRPr="00C61189">
        <w:rPr>
          <w:rFonts w:cstheme="minorHAnsi"/>
          <w:sz w:val="24"/>
          <w:szCs w:val="24"/>
        </w:rPr>
        <w:t>The authors examine the ICJ judges’ voting pattern to determine whether judges are biased or not</w:t>
      </w:r>
      <w:r w:rsidR="001F1808" w:rsidRPr="00C61189">
        <w:rPr>
          <w:rFonts w:cstheme="minorHAnsi"/>
          <w:sz w:val="24"/>
          <w:szCs w:val="24"/>
        </w:rPr>
        <w:t xml:space="preserve"> by classifying states into blocs-</w:t>
      </w:r>
      <w:r w:rsidR="0081030B" w:rsidRPr="00C61189">
        <w:rPr>
          <w:rFonts w:cstheme="minorHAnsi"/>
          <w:sz w:val="24"/>
          <w:szCs w:val="24"/>
        </w:rPr>
        <w:t xml:space="preserve"> based on </w:t>
      </w:r>
      <w:r w:rsidR="009A7C34" w:rsidRPr="00C61189">
        <w:rPr>
          <w:rFonts w:cstheme="minorHAnsi"/>
          <w:sz w:val="24"/>
          <w:szCs w:val="24"/>
        </w:rPr>
        <w:t xml:space="preserve">region, </w:t>
      </w:r>
      <w:r w:rsidR="00A61977" w:rsidRPr="00C61189">
        <w:rPr>
          <w:rFonts w:cstheme="minorHAnsi"/>
          <w:sz w:val="24"/>
          <w:szCs w:val="24"/>
        </w:rPr>
        <w:t>wealth</w:t>
      </w:r>
      <w:r w:rsidR="009A7C34" w:rsidRPr="00C61189">
        <w:rPr>
          <w:rFonts w:cstheme="minorHAnsi"/>
          <w:sz w:val="24"/>
          <w:szCs w:val="24"/>
        </w:rPr>
        <w:t>,</w:t>
      </w:r>
      <w:r w:rsidR="00A13174" w:rsidRPr="00C61189">
        <w:rPr>
          <w:rFonts w:cstheme="minorHAnsi"/>
          <w:sz w:val="24"/>
          <w:szCs w:val="24"/>
        </w:rPr>
        <w:t xml:space="preserve"> culture, military,</w:t>
      </w:r>
      <w:r w:rsidR="009A7C34" w:rsidRPr="00C61189">
        <w:rPr>
          <w:rFonts w:cstheme="minorHAnsi"/>
          <w:sz w:val="24"/>
          <w:szCs w:val="24"/>
        </w:rPr>
        <w:t xml:space="preserve"> political </w:t>
      </w:r>
      <w:r w:rsidR="001F1808" w:rsidRPr="00C61189">
        <w:rPr>
          <w:rFonts w:cstheme="minorHAnsi"/>
          <w:sz w:val="24"/>
          <w:szCs w:val="24"/>
        </w:rPr>
        <w:t>alliances</w:t>
      </w:r>
      <w:r w:rsidR="009A7C34" w:rsidRPr="00C61189">
        <w:rPr>
          <w:rFonts w:cstheme="minorHAnsi"/>
          <w:sz w:val="24"/>
          <w:szCs w:val="24"/>
        </w:rPr>
        <w:t>,</w:t>
      </w:r>
      <w:r w:rsidR="001F1808" w:rsidRPr="00C61189">
        <w:rPr>
          <w:rFonts w:cstheme="minorHAnsi"/>
          <w:sz w:val="24"/>
          <w:szCs w:val="24"/>
        </w:rPr>
        <w:t xml:space="preserve"> and similar factors</w:t>
      </w:r>
      <w:r w:rsidR="00EC6111" w:rsidRPr="00C61189">
        <w:rPr>
          <w:rFonts w:cstheme="minorHAnsi"/>
          <w:sz w:val="24"/>
          <w:szCs w:val="24"/>
        </w:rPr>
        <w:t>, and observing if</w:t>
      </w:r>
      <w:r w:rsidR="008708CB" w:rsidRPr="00C61189">
        <w:rPr>
          <w:rFonts w:cstheme="minorHAnsi"/>
          <w:sz w:val="24"/>
          <w:szCs w:val="24"/>
        </w:rPr>
        <w:t xml:space="preserve"> judges favor</w:t>
      </w:r>
      <w:r w:rsidR="00EC6111" w:rsidRPr="00C61189">
        <w:rPr>
          <w:rFonts w:cstheme="minorHAnsi"/>
          <w:sz w:val="24"/>
          <w:szCs w:val="24"/>
        </w:rPr>
        <w:t xml:space="preserve"> states that belong to the same bloc as their home state</w:t>
      </w:r>
      <w:r w:rsidR="00EC6111" w:rsidRPr="00C61189">
        <w:rPr>
          <w:rStyle w:val="a5"/>
          <w:rFonts w:cstheme="minorHAnsi"/>
          <w:sz w:val="24"/>
          <w:szCs w:val="24"/>
        </w:rPr>
        <w:footnoteReference w:id="2"/>
      </w:r>
      <w:r w:rsidR="00EC6111" w:rsidRPr="00C61189">
        <w:rPr>
          <w:rFonts w:cstheme="minorHAnsi"/>
          <w:sz w:val="24"/>
          <w:szCs w:val="24"/>
        </w:rPr>
        <w:t xml:space="preserve">.  </w:t>
      </w:r>
    </w:p>
    <w:p w:rsidR="00C14392" w:rsidRPr="00C61189" w:rsidRDefault="004045D1" w:rsidP="00C61189">
      <w:pPr>
        <w:ind w:firstLine="720"/>
        <w:jc w:val="thaiDistribute"/>
        <w:rPr>
          <w:rFonts w:cstheme="minorHAnsi"/>
          <w:sz w:val="24"/>
          <w:szCs w:val="24"/>
        </w:rPr>
      </w:pPr>
      <w:r w:rsidRPr="00C61189">
        <w:rPr>
          <w:rFonts w:cstheme="minorHAnsi"/>
          <w:sz w:val="24"/>
          <w:szCs w:val="24"/>
        </w:rPr>
        <w:t>In an international stage, a</w:t>
      </w:r>
      <w:r w:rsidR="00066A04" w:rsidRPr="00C61189">
        <w:rPr>
          <w:rFonts w:cstheme="minorHAnsi"/>
          <w:sz w:val="24"/>
          <w:szCs w:val="24"/>
        </w:rPr>
        <w:t>uthors identify</w:t>
      </w:r>
      <w:r w:rsidR="00D55BEB" w:rsidRPr="00C61189">
        <w:rPr>
          <w:rFonts w:cstheme="minorHAnsi"/>
          <w:sz w:val="24"/>
          <w:szCs w:val="24"/>
        </w:rPr>
        <w:t xml:space="preserve"> national identity as a</w:t>
      </w:r>
      <w:r w:rsidRPr="00C61189">
        <w:rPr>
          <w:rFonts w:cstheme="minorHAnsi"/>
          <w:sz w:val="24"/>
          <w:szCs w:val="24"/>
        </w:rPr>
        <w:t>nother important</w:t>
      </w:r>
      <w:r w:rsidR="00D55BEB" w:rsidRPr="00C61189">
        <w:rPr>
          <w:rFonts w:cstheme="minorHAnsi"/>
          <w:sz w:val="24"/>
          <w:szCs w:val="24"/>
        </w:rPr>
        <w:t xml:space="preserve"> factor that could interfere with </w:t>
      </w:r>
      <w:r w:rsidR="00066A04" w:rsidRPr="00C61189">
        <w:rPr>
          <w:rFonts w:cstheme="minorHAnsi"/>
          <w:sz w:val="24"/>
          <w:szCs w:val="24"/>
        </w:rPr>
        <w:t>the</w:t>
      </w:r>
      <w:r w:rsidR="00D55BEB" w:rsidRPr="00C61189">
        <w:rPr>
          <w:rFonts w:cstheme="minorHAnsi"/>
          <w:sz w:val="24"/>
          <w:szCs w:val="24"/>
        </w:rPr>
        <w:t xml:space="preserve"> decision-making</w:t>
      </w:r>
      <w:r w:rsidR="00A13174" w:rsidRPr="00C61189">
        <w:rPr>
          <w:rFonts w:cstheme="minorHAnsi"/>
          <w:sz w:val="24"/>
          <w:szCs w:val="24"/>
        </w:rPr>
        <w:t xml:space="preserve"> in three aspects- psychological, economic and via selection effect</w:t>
      </w:r>
      <w:r w:rsidR="00066A04" w:rsidRPr="00C61189">
        <w:rPr>
          <w:rFonts w:cstheme="minorHAnsi"/>
          <w:sz w:val="24"/>
          <w:szCs w:val="24"/>
        </w:rPr>
        <w:t xml:space="preserve">. </w:t>
      </w:r>
      <w:r w:rsidR="00A13174" w:rsidRPr="00C61189">
        <w:rPr>
          <w:rFonts w:cstheme="minorHAnsi"/>
          <w:sz w:val="24"/>
          <w:szCs w:val="24"/>
        </w:rPr>
        <w:t>Firstly, j</w:t>
      </w:r>
      <w:r w:rsidR="00066A04" w:rsidRPr="00C61189">
        <w:rPr>
          <w:rFonts w:cstheme="minorHAnsi"/>
          <w:sz w:val="24"/>
          <w:szCs w:val="24"/>
        </w:rPr>
        <w:t>udges would develop a strong psychological bond with their country and might not be able to see conflicts from a different point of view. Also, judges may have</w:t>
      </w:r>
      <w:r w:rsidR="00C14392" w:rsidRPr="00C61189">
        <w:rPr>
          <w:rFonts w:cstheme="minorHAnsi"/>
          <w:sz w:val="24"/>
          <w:szCs w:val="24"/>
        </w:rPr>
        <w:t xml:space="preserve"> economic motivations to favor</w:t>
      </w:r>
      <w:r w:rsidR="00066A04" w:rsidRPr="00C61189">
        <w:rPr>
          <w:rFonts w:cstheme="minorHAnsi"/>
          <w:sz w:val="24"/>
          <w:szCs w:val="24"/>
        </w:rPr>
        <w:t xml:space="preserve"> their countries for reappointment or future benefits. Furthermore, the selection process may allow states to choose </w:t>
      </w:r>
      <w:r w:rsidR="00F22E89" w:rsidRPr="00C61189">
        <w:rPr>
          <w:rFonts w:cstheme="minorHAnsi"/>
          <w:sz w:val="24"/>
          <w:szCs w:val="24"/>
        </w:rPr>
        <w:t xml:space="preserve">impartial </w:t>
      </w:r>
      <w:r w:rsidR="00066A04" w:rsidRPr="00C61189">
        <w:rPr>
          <w:rFonts w:cstheme="minorHAnsi"/>
          <w:sz w:val="24"/>
          <w:szCs w:val="24"/>
        </w:rPr>
        <w:t xml:space="preserve">judges who </w:t>
      </w:r>
      <w:r w:rsidR="00F22E89" w:rsidRPr="00C61189">
        <w:rPr>
          <w:rFonts w:cstheme="minorHAnsi"/>
          <w:sz w:val="24"/>
          <w:szCs w:val="24"/>
        </w:rPr>
        <w:t>happen to hold a certain view of legal principles that tends</w:t>
      </w:r>
      <w:r w:rsidR="00066A04" w:rsidRPr="00C61189">
        <w:rPr>
          <w:rFonts w:cstheme="minorHAnsi"/>
          <w:sz w:val="24"/>
          <w:szCs w:val="24"/>
        </w:rPr>
        <w:t xml:space="preserve"> to favor </w:t>
      </w:r>
      <w:r w:rsidR="00F22E89" w:rsidRPr="00C61189">
        <w:rPr>
          <w:rFonts w:cstheme="minorHAnsi"/>
          <w:sz w:val="24"/>
          <w:szCs w:val="24"/>
        </w:rPr>
        <w:t xml:space="preserve">appointing states. </w:t>
      </w:r>
      <w:r w:rsidRPr="00C61189">
        <w:rPr>
          <w:rFonts w:cstheme="minorHAnsi"/>
          <w:sz w:val="24"/>
          <w:szCs w:val="24"/>
        </w:rPr>
        <w:t xml:space="preserve">The hypothesis is that ICJ judges vote in favor for the party who appointed </w:t>
      </w:r>
      <w:r w:rsidR="0027630B" w:rsidRPr="00C61189">
        <w:rPr>
          <w:rFonts w:cstheme="minorHAnsi"/>
          <w:sz w:val="24"/>
          <w:szCs w:val="24"/>
        </w:rPr>
        <w:t>them or whose strategic interest is closely aligned with the judge’s home state</w:t>
      </w:r>
      <w:r w:rsidR="0027630B" w:rsidRPr="00C61189">
        <w:rPr>
          <w:rStyle w:val="a5"/>
          <w:rFonts w:cstheme="minorHAnsi"/>
          <w:sz w:val="24"/>
          <w:szCs w:val="24"/>
        </w:rPr>
        <w:footnoteReference w:id="3"/>
      </w:r>
      <w:r w:rsidR="0027630B" w:rsidRPr="00C61189">
        <w:rPr>
          <w:rFonts w:cstheme="minorHAnsi"/>
          <w:sz w:val="24"/>
          <w:szCs w:val="24"/>
        </w:rPr>
        <w:t>.</w:t>
      </w:r>
      <w:r w:rsidR="00F22E89" w:rsidRPr="00C61189">
        <w:rPr>
          <w:rFonts w:cstheme="minorHAnsi"/>
          <w:sz w:val="24"/>
          <w:szCs w:val="24"/>
        </w:rPr>
        <w:t xml:space="preserve"> Several alignments include region, military, wealth, democracy, culture and UN organization. </w:t>
      </w:r>
    </w:p>
    <w:p w:rsidR="00066A04" w:rsidRPr="00C61189" w:rsidRDefault="004D2607" w:rsidP="00C61189">
      <w:pPr>
        <w:ind w:firstLine="720"/>
        <w:jc w:val="thaiDistribute"/>
        <w:rPr>
          <w:rFonts w:cstheme="minorHAnsi"/>
          <w:sz w:val="24"/>
          <w:szCs w:val="24"/>
        </w:rPr>
      </w:pPr>
      <w:r w:rsidRPr="00C61189">
        <w:rPr>
          <w:rFonts w:cstheme="minorHAnsi"/>
          <w:sz w:val="24"/>
          <w:szCs w:val="24"/>
        </w:rPr>
        <w:t xml:space="preserve">From the </w:t>
      </w:r>
      <w:r w:rsidR="0029611B" w:rsidRPr="00C61189">
        <w:rPr>
          <w:rFonts w:cstheme="minorHAnsi"/>
          <w:sz w:val="24"/>
          <w:szCs w:val="24"/>
        </w:rPr>
        <w:t>data</w:t>
      </w:r>
      <w:r w:rsidRPr="00C61189">
        <w:rPr>
          <w:rFonts w:cstheme="minorHAnsi"/>
          <w:sz w:val="24"/>
          <w:szCs w:val="24"/>
        </w:rPr>
        <w:t xml:space="preserve">, it is found that judges </w:t>
      </w:r>
      <w:r w:rsidR="00C14392" w:rsidRPr="00C61189">
        <w:rPr>
          <w:rFonts w:cstheme="minorHAnsi"/>
          <w:sz w:val="24"/>
          <w:szCs w:val="24"/>
        </w:rPr>
        <w:t xml:space="preserve">favor </w:t>
      </w:r>
      <w:r w:rsidRPr="00C61189">
        <w:rPr>
          <w:rFonts w:cstheme="minorHAnsi"/>
          <w:sz w:val="24"/>
          <w:szCs w:val="24"/>
        </w:rPr>
        <w:t xml:space="preserve">their </w:t>
      </w:r>
      <w:r w:rsidR="008708CB" w:rsidRPr="00C61189">
        <w:rPr>
          <w:rFonts w:cstheme="minorHAnsi"/>
          <w:sz w:val="24"/>
          <w:szCs w:val="24"/>
        </w:rPr>
        <w:t xml:space="preserve">party states - </w:t>
      </w:r>
      <w:r w:rsidRPr="00C61189">
        <w:rPr>
          <w:rFonts w:cstheme="minorHAnsi"/>
          <w:sz w:val="24"/>
          <w:szCs w:val="24"/>
        </w:rPr>
        <w:t>home state/</w:t>
      </w:r>
      <w:r w:rsidR="008708CB" w:rsidRPr="00C61189">
        <w:rPr>
          <w:rFonts w:cstheme="minorHAnsi"/>
          <w:sz w:val="24"/>
          <w:szCs w:val="24"/>
        </w:rPr>
        <w:t>ad hoc appointer</w:t>
      </w:r>
      <w:r w:rsidRPr="00C61189">
        <w:rPr>
          <w:rFonts w:cstheme="minorHAnsi"/>
          <w:sz w:val="24"/>
          <w:szCs w:val="24"/>
        </w:rPr>
        <w:t>s</w:t>
      </w:r>
      <w:r w:rsidR="008708CB" w:rsidRPr="00C61189">
        <w:rPr>
          <w:rFonts w:cstheme="minorHAnsi"/>
          <w:sz w:val="24"/>
          <w:szCs w:val="24"/>
        </w:rPr>
        <w:t>,</w:t>
      </w:r>
      <w:r w:rsidRPr="00C61189">
        <w:rPr>
          <w:rFonts w:cstheme="minorHAnsi"/>
          <w:sz w:val="24"/>
          <w:szCs w:val="24"/>
        </w:rPr>
        <w:t xml:space="preserve"> as they vote for </w:t>
      </w:r>
      <w:r w:rsidR="008708CB" w:rsidRPr="00C61189">
        <w:rPr>
          <w:rFonts w:cstheme="minorHAnsi"/>
          <w:sz w:val="24"/>
          <w:szCs w:val="24"/>
        </w:rPr>
        <w:t xml:space="preserve">party </w:t>
      </w:r>
      <w:r w:rsidRPr="00C61189">
        <w:rPr>
          <w:rFonts w:cstheme="minorHAnsi"/>
          <w:sz w:val="24"/>
          <w:szCs w:val="24"/>
        </w:rPr>
        <w:t xml:space="preserve">states about 90 per cent </w:t>
      </w:r>
      <w:r w:rsidR="00C14392" w:rsidRPr="00C61189">
        <w:rPr>
          <w:rFonts w:cstheme="minorHAnsi"/>
          <w:sz w:val="24"/>
          <w:szCs w:val="24"/>
        </w:rPr>
        <w:t>of</w:t>
      </w:r>
      <w:r w:rsidRPr="00C61189">
        <w:rPr>
          <w:rFonts w:cstheme="minorHAnsi"/>
          <w:sz w:val="24"/>
          <w:szCs w:val="24"/>
        </w:rPr>
        <w:t xml:space="preserve"> </w:t>
      </w:r>
      <w:r w:rsidR="00A13174" w:rsidRPr="00C61189">
        <w:rPr>
          <w:rFonts w:cstheme="minorHAnsi"/>
          <w:sz w:val="24"/>
          <w:szCs w:val="24"/>
        </w:rPr>
        <w:t>the time while</w:t>
      </w:r>
      <w:r w:rsidR="00C14392" w:rsidRPr="00C61189">
        <w:rPr>
          <w:rFonts w:cstheme="minorHAnsi"/>
          <w:sz w:val="24"/>
          <w:szCs w:val="24"/>
        </w:rPr>
        <w:t xml:space="preserve"> </w:t>
      </w:r>
      <w:r w:rsidRPr="00C61189">
        <w:rPr>
          <w:rFonts w:cstheme="minorHAnsi"/>
          <w:sz w:val="24"/>
          <w:szCs w:val="24"/>
        </w:rPr>
        <w:t>vote for non-</w:t>
      </w:r>
      <w:r w:rsidR="008708CB" w:rsidRPr="00C61189">
        <w:rPr>
          <w:rFonts w:cstheme="minorHAnsi"/>
          <w:sz w:val="24"/>
          <w:szCs w:val="24"/>
        </w:rPr>
        <w:t>party states</w:t>
      </w:r>
      <w:r w:rsidRPr="00C61189">
        <w:rPr>
          <w:rFonts w:cstheme="minorHAnsi"/>
          <w:sz w:val="24"/>
          <w:szCs w:val="24"/>
        </w:rPr>
        <w:t xml:space="preserve"> 47 - 49</w:t>
      </w:r>
      <w:r w:rsidR="00C14392" w:rsidRPr="00C61189">
        <w:rPr>
          <w:rFonts w:cstheme="minorHAnsi"/>
          <w:sz w:val="24"/>
          <w:szCs w:val="24"/>
        </w:rPr>
        <w:t xml:space="preserve"> </w:t>
      </w:r>
      <w:r w:rsidR="00A13174" w:rsidRPr="00C61189">
        <w:rPr>
          <w:rFonts w:cstheme="minorHAnsi"/>
          <w:sz w:val="24"/>
          <w:szCs w:val="24"/>
        </w:rPr>
        <w:t xml:space="preserve">per cent </w:t>
      </w:r>
      <w:r w:rsidR="00C14392" w:rsidRPr="00C61189">
        <w:rPr>
          <w:rFonts w:cstheme="minorHAnsi"/>
          <w:sz w:val="24"/>
          <w:szCs w:val="24"/>
        </w:rPr>
        <w:t>of the time.</w:t>
      </w:r>
      <w:r w:rsidRPr="00C61189">
        <w:rPr>
          <w:rFonts w:cstheme="minorHAnsi"/>
          <w:sz w:val="24"/>
          <w:szCs w:val="24"/>
        </w:rPr>
        <w:t xml:space="preserve"> </w:t>
      </w:r>
      <w:r w:rsidR="00A724A8" w:rsidRPr="00C61189">
        <w:rPr>
          <w:rFonts w:cstheme="minorHAnsi"/>
          <w:sz w:val="24"/>
          <w:szCs w:val="24"/>
        </w:rPr>
        <w:t>Still</w:t>
      </w:r>
      <w:r w:rsidRPr="00C61189">
        <w:rPr>
          <w:rFonts w:cstheme="minorHAnsi"/>
          <w:sz w:val="24"/>
          <w:szCs w:val="24"/>
        </w:rPr>
        <w:t xml:space="preserve">, </w:t>
      </w:r>
      <w:r w:rsidR="008708CB" w:rsidRPr="00C61189">
        <w:rPr>
          <w:rFonts w:cstheme="minorHAnsi"/>
          <w:sz w:val="24"/>
          <w:szCs w:val="24"/>
        </w:rPr>
        <w:t xml:space="preserve">ICJ in total may deliver </w:t>
      </w:r>
      <w:r w:rsidR="00A724A8" w:rsidRPr="00C61189">
        <w:rPr>
          <w:rFonts w:cstheme="minorHAnsi"/>
          <w:sz w:val="24"/>
          <w:szCs w:val="24"/>
        </w:rPr>
        <w:t xml:space="preserve">impartial </w:t>
      </w:r>
      <w:r w:rsidR="008708CB" w:rsidRPr="00C61189">
        <w:rPr>
          <w:rFonts w:cstheme="minorHAnsi"/>
          <w:sz w:val="24"/>
          <w:szCs w:val="24"/>
        </w:rPr>
        <w:t>decisions as the vote of party judges between applicants and respondents may cancel out and other non-party states may be unbiased.</w:t>
      </w:r>
      <w:r w:rsidR="00A724A8" w:rsidRPr="00C61189">
        <w:rPr>
          <w:rFonts w:cstheme="minorHAnsi"/>
          <w:sz w:val="24"/>
          <w:szCs w:val="24"/>
        </w:rPr>
        <w:t xml:space="preserve"> However, f</w:t>
      </w:r>
      <w:r w:rsidR="008708CB" w:rsidRPr="00C61189">
        <w:rPr>
          <w:rFonts w:cstheme="minorHAnsi"/>
          <w:sz w:val="24"/>
          <w:szCs w:val="24"/>
        </w:rPr>
        <w:t xml:space="preserve">or non-party judges, results also show that when the judge’s state and one party belong in the same bloc and the other party does </w:t>
      </w:r>
      <w:r w:rsidR="0029611B" w:rsidRPr="00C61189">
        <w:rPr>
          <w:rFonts w:cstheme="minorHAnsi"/>
          <w:sz w:val="24"/>
          <w:szCs w:val="24"/>
        </w:rPr>
        <w:t>not,</w:t>
      </w:r>
      <w:r w:rsidR="008708CB" w:rsidRPr="00C61189">
        <w:rPr>
          <w:rFonts w:cstheme="minorHAnsi"/>
          <w:sz w:val="24"/>
          <w:szCs w:val="24"/>
        </w:rPr>
        <w:t xml:space="preserve"> the judge is more likel</w:t>
      </w:r>
      <w:r w:rsidR="0029611B" w:rsidRPr="00C61189">
        <w:rPr>
          <w:rFonts w:cstheme="minorHAnsi"/>
          <w:sz w:val="24"/>
          <w:szCs w:val="24"/>
        </w:rPr>
        <w:t>y to vote for the former</w:t>
      </w:r>
      <w:r w:rsidR="008708CB" w:rsidRPr="00C61189">
        <w:rPr>
          <w:rFonts w:cstheme="minorHAnsi"/>
          <w:sz w:val="24"/>
          <w:szCs w:val="24"/>
        </w:rPr>
        <w:t xml:space="preserve">. Whereas when the judge does not match with either state, the percentage of vote for applicant and respondent is </w:t>
      </w:r>
      <w:r w:rsidR="0029611B" w:rsidRPr="00C61189">
        <w:rPr>
          <w:rFonts w:cstheme="minorHAnsi"/>
          <w:sz w:val="24"/>
          <w:szCs w:val="24"/>
        </w:rPr>
        <w:t xml:space="preserve">about </w:t>
      </w:r>
      <w:r w:rsidR="008708CB" w:rsidRPr="00C61189">
        <w:rPr>
          <w:rFonts w:cstheme="minorHAnsi"/>
          <w:sz w:val="24"/>
          <w:szCs w:val="24"/>
        </w:rPr>
        <w:t>50/50.</w:t>
      </w:r>
    </w:p>
    <w:p w:rsidR="00A724A8" w:rsidRPr="00C61189" w:rsidRDefault="00A724A8" w:rsidP="00C61189">
      <w:pPr>
        <w:ind w:firstLine="720"/>
        <w:jc w:val="thaiDistribute"/>
        <w:rPr>
          <w:rFonts w:cstheme="minorHAnsi"/>
          <w:sz w:val="24"/>
          <w:szCs w:val="24"/>
        </w:rPr>
      </w:pPr>
      <w:r w:rsidRPr="00C61189">
        <w:rPr>
          <w:rFonts w:cstheme="minorHAnsi"/>
          <w:sz w:val="24"/>
          <w:szCs w:val="24"/>
        </w:rPr>
        <w:t xml:space="preserve">Moreover, the regression confirmed the hypothesis. The judge whose home state does not match with a relevant attribute with any party votes in favor for an applicant with a probability of 0.5. Ceteris paribus, the probability increases by 27 percentage points if the </w:t>
      </w:r>
      <w:r w:rsidRPr="00C61189">
        <w:rPr>
          <w:rFonts w:cstheme="minorHAnsi"/>
          <w:sz w:val="24"/>
          <w:szCs w:val="24"/>
        </w:rPr>
        <w:lastRenderedPageBreak/>
        <w:t xml:space="preserve">judge and applicant are from the same country, 25 percentage points for a more democratic state, 32 percentage points for a higher GDP per capita state and 24 percentage points if the home state’s language is the same as the applicant’s. As for regional and military blocs, the results are inconclusive due to high level of </w:t>
      </w:r>
      <w:proofErr w:type="spellStart"/>
      <w:r w:rsidRPr="00C61189">
        <w:rPr>
          <w:rFonts w:cstheme="minorHAnsi"/>
          <w:sz w:val="24"/>
          <w:szCs w:val="24"/>
        </w:rPr>
        <w:t>multicollinearity</w:t>
      </w:r>
      <w:proofErr w:type="spellEnd"/>
      <w:r w:rsidRPr="00C61189">
        <w:rPr>
          <w:rFonts w:cstheme="minorHAnsi"/>
          <w:sz w:val="24"/>
          <w:szCs w:val="24"/>
        </w:rPr>
        <w:t xml:space="preserve"> of related attributes and lack of variation of limited number of cases.</w:t>
      </w:r>
    </w:p>
    <w:p w:rsidR="00A724A8" w:rsidRPr="00C61189" w:rsidRDefault="00A724A8" w:rsidP="00C61189">
      <w:pPr>
        <w:ind w:firstLine="720"/>
        <w:jc w:val="thaiDistribute"/>
        <w:rPr>
          <w:rFonts w:cstheme="minorHAnsi"/>
          <w:sz w:val="24"/>
          <w:szCs w:val="24"/>
        </w:rPr>
      </w:pPr>
      <w:r w:rsidRPr="00C61189">
        <w:rPr>
          <w:rFonts w:cstheme="minorHAnsi"/>
          <w:sz w:val="24"/>
          <w:szCs w:val="24"/>
        </w:rPr>
        <w:t xml:space="preserve">It can be concluded that national bias interferes significantly with the ICJ decisions in various factors. However, judges may not be necessarily consciously biased, psychologically or via selection. If both applicants and respondents are either very similar or very different to the home states, judges may not be biased at all. </w:t>
      </w:r>
    </w:p>
    <w:p w:rsidR="00A724A8" w:rsidRPr="00C61189" w:rsidRDefault="00A724A8" w:rsidP="00C61189">
      <w:pPr>
        <w:ind w:firstLine="720"/>
        <w:jc w:val="thaiDistribute"/>
        <w:rPr>
          <w:rFonts w:cstheme="minorHAnsi"/>
          <w:sz w:val="24"/>
          <w:szCs w:val="24"/>
        </w:rPr>
      </w:pPr>
      <w:r w:rsidRPr="00C61189">
        <w:rPr>
          <w:rFonts w:cstheme="minorHAnsi"/>
          <w:sz w:val="24"/>
          <w:szCs w:val="24"/>
        </w:rPr>
        <w:t>In my opinion, a certain degree of bias is expected in such court decisions. As cases filed to</w:t>
      </w:r>
      <w:r w:rsidR="00170838" w:rsidRPr="00C61189">
        <w:rPr>
          <w:rFonts w:cstheme="minorHAnsi"/>
          <w:sz w:val="24"/>
          <w:szCs w:val="24"/>
        </w:rPr>
        <w:t xml:space="preserve"> ICJ are usually complex and the</w:t>
      </w:r>
      <w:r w:rsidRPr="00C61189">
        <w:rPr>
          <w:rFonts w:cstheme="minorHAnsi"/>
          <w:sz w:val="24"/>
          <w:szCs w:val="24"/>
        </w:rPr>
        <w:t xml:space="preserve"> outcome</w:t>
      </w:r>
      <w:r w:rsidR="00170838" w:rsidRPr="00C61189">
        <w:rPr>
          <w:rFonts w:cstheme="minorHAnsi"/>
          <w:sz w:val="24"/>
          <w:szCs w:val="24"/>
        </w:rPr>
        <w:t>s</w:t>
      </w:r>
      <w:r w:rsidRPr="00C61189">
        <w:rPr>
          <w:rFonts w:cstheme="minorHAnsi"/>
          <w:sz w:val="24"/>
          <w:szCs w:val="24"/>
        </w:rPr>
        <w:t xml:space="preserve"> are not obvious, judges will have to make normative judgment. The authors have thoroughly considered various aspects that can affect the judge’s decision. To add on, type of legal system could also be another attribute to study the effects of different systems such as civil law, common law and religious law on ICJ decision.</w:t>
      </w:r>
      <w:bookmarkStart w:id="0" w:name="_GoBack"/>
      <w:bookmarkEnd w:id="0"/>
    </w:p>
    <w:p w:rsidR="00A724A8" w:rsidRPr="00C61189" w:rsidRDefault="00A724A8" w:rsidP="00C61189">
      <w:pPr>
        <w:ind w:firstLine="720"/>
        <w:jc w:val="thaiDistribute"/>
        <w:rPr>
          <w:rFonts w:cstheme="minorHAnsi"/>
          <w:sz w:val="24"/>
          <w:szCs w:val="24"/>
        </w:rPr>
      </w:pPr>
      <w:r w:rsidRPr="00C61189">
        <w:rPr>
          <w:rFonts w:cstheme="minorHAnsi"/>
          <w:sz w:val="24"/>
          <w:szCs w:val="24"/>
        </w:rPr>
        <w:t>In addition, since jurisdiction by special agreement and treaty-based jurisdiction require state consent whereas compulsory jurisdiction requires state to file a declaration, many states might avoid complying</w:t>
      </w:r>
      <w:r w:rsidR="00170838" w:rsidRPr="00C61189">
        <w:rPr>
          <w:rFonts w:cstheme="minorHAnsi"/>
          <w:sz w:val="24"/>
          <w:szCs w:val="24"/>
        </w:rPr>
        <w:t xml:space="preserve"> with the Court’s </w:t>
      </w:r>
      <w:r w:rsidR="00914697" w:rsidRPr="00C61189">
        <w:rPr>
          <w:rFonts w:cstheme="minorHAnsi"/>
          <w:sz w:val="24"/>
          <w:szCs w:val="24"/>
        </w:rPr>
        <w:t>jurisdiction</w:t>
      </w:r>
      <w:r w:rsidRPr="00C61189">
        <w:rPr>
          <w:rFonts w:cstheme="minorHAnsi"/>
          <w:sz w:val="24"/>
          <w:szCs w:val="24"/>
        </w:rPr>
        <w:t>. According to study, compliance with ICJ j</w:t>
      </w:r>
      <w:r w:rsidR="00170838" w:rsidRPr="00C61189">
        <w:rPr>
          <w:rFonts w:cstheme="minorHAnsi"/>
          <w:sz w:val="24"/>
          <w:szCs w:val="24"/>
        </w:rPr>
        <w:t>udgment is around 60 per cent</w:t>
      </w:r>
      <w:r w:rsidR="00170838" w:rsidRPr="00C61189">
        <w:rPr>
          <w:rStyle w:val="a5"/>
          <w:rFonts w:cstheme="minorHAnsi"/>
          <w:sz w:val="24"/>
          <w:szCs w:val="24"/>
        </w:rPr>
        <w:footnoteReference w:id="4"/>
      </w:r>
      <w:r w:rsidRPr="00C61189">
        <w:rPr>
          <w:rFonts w:cstheme="minorHAnsi"/>
          <w:sz w:val="24"/>
          <w:szCs w:val="24"/>
        </w:rPr>
        <w:t xml:space="preserve">. In my point of view, ICJ could serve as an arbitrator for disputing parties to create a new contract. This is to minimize international obligations and interference since its jurisdiction could sometimes be biased. From a </w:t>
      </w:r>
      <w:proofErr w:type="spellStart"/>
      <w:r w:rsidRPr="00C61189">
        <w:rPr>
          <w:rFonts w:cstheme="minorHAnsi"/>
          <w:sz w:val="24"/>
          <w:szCs w:val="24"/>
        </w:rPr>
        <w:t>Coase</w:t>
      </w:r>
      <w:proofErr w:type="spellEnd"/>
      <w:r w:rsidRPr="00C61189">
        <w:rPr>
          <w:rFonts w:cstheme="minorHAnsi"/>
          <w:sz w:val="24"/>
          <w:szCs w:val="24"/>
        </w:rPr>
        <w:t xml:space="preserve"> theorem perspective, ICJ can help to define a better legal context and possibly lower the transaction cost in order to allow disputing parties to freely negotiate to achieve economic optimum.</w:t>
      </w:r>
    </w:p>
    <w:p w:rsidR="00A724A8" w:rsidRPr="00C61189" w:rsidRDefault="00A724A8" w:rsidP="00C61189">
      <w:pPr>
        <w:ind w:firstLine="720"/>
        <w:jc w:val="thaiDistribute"/>
        <w:rPr>
          <w:rFonts w:cstheme="minorHAnsi"/>
          <w:sz w:val="24"/>
          <w:szCs w:val="24"/>
        </w:rPr>
      </w:pPr>
      <w:r w:rsidRPr="00C61189">
        <w:rPr>
          <w:rFonts w:cstheme="minorHAnsi"/>
          <w:sz w:val="24"/>
          <w:szCs w:val="24"/>
        </w:rPr>
        <w:t xml:space="preserve">To apply this to the Thailand's context, the ICJ verdict on Temple of </w:t>
      </w:r>
      <w:proofErr w:type="spellStart"/>
      <w:r w:rsidRPr="00C61189">
        <w:rPr>
          <w:rFonts w:cstheme="minorHAnsi"/>
          <w:sz w:val="24"/>
          <w:szCs w:val="24"/>
        </w:rPr>
        <w:t>Preah</w:t>
      </w:r>
      <w:proofErr w:type="spellEnd"/>
      <w:r w:rsidRPr="00C61189">
        <w:rPr>
          <w:rFonts w:cstheme="minorHAnsi"/>
          <w:sz w:val="24"/>
          <w:szCs w:val="24"/>
        </w:rPr>
        <w:t xml:space="preserve"> </w:t>
      </w:r>
      <w:proofErr w:type="spellStart"/>
      <w:r w:rsidRPr="00C61189">
        <w:rPr>
          <w:rFonts w:cstheme="minorHAnsi"/>
          <w:sz w:val="24"/>
          <w:szCs w:val="24"/>
        </w:rPr>
        <w:t>Vihear</w:t>
      </w:r>
      <w:proofErr w:type="spellEnd"/>
      <w:r w:rsidRPr="00C61189">
        <w:rPr>
          <w:rFonts w:cstheme="minorHAnsi"/>
          <w:sz w:val="24"/>
          <w:szCs w:val="24"/>
        </w:rPr>
        <w:t xml:space="preserve"> case could be considered biased towards one alignment - UN organization, UNESCO. The Court affirmed UNESCO listing of Temple of </w:t>
      </w:r>
      <w:proofErr w:type="spellStart"/>
      <w:r w:rsidRPr="00C61189">
        <w:rPr>
          <w:rFonts w:cstheme="minorHAnsi"/>
          <w:sz w:val="24"/>
          <w:szCs w:val="24"/>
        </w:rPr>
        <w:t>Preah</w:t>
      </w:r>
      <w:proofErr w:type="spellEnd"/>
      <w:r w:rsidRPr="00C61189">
        <w:rPr>
          <w:rFonts w:cstheme="minorHAnsi"/>
          <w:sz w:val="24"/>
          <w:szCs w:val="24"/>
        </w:rPr>
        <w:t xml:space="preserve"> </w:t>
      </w:r>
      <w:proofErr w:type="spellStart"/>
      <w:r w:rsidRPr="00C61189">
        <w:rPr>
          <w:rFonts w:cstheme="minorHAnsi"/>
          <w:sz w:val="24"/>
          <w:szCs w:val="24"/>
        </w:rPr>
        <w:t>Vihear</w:t>
      </w:r>
      <w:proofErr w:type="spellEnd"/>
      <w:r w:rsidRPr="00C61189">
        <w:rPr>
          <w:rFonts w:cstheme="minorHAnsi"/>
          <w:sz w:val="24"/>
          <w:szCs w:val="24"/>
        </w:rPr>
        <w:t xml:space="preserve"> as a Cambodia's world heritage site</w:t>
      </w:r>
      <w:r w:rsidR="00C61189" w:rsidRPr="00C61189">
        <w:rPr>
          <w:rFonts w:cstheme="minorHAnsi"/>
          <w:sz w:val="24"/>
          <w:szCs w:val="24"/>
        </w:rPr>
        <w:t xml:space="preserve"> </w:t>
      </w:r>
      <w:r w:rsidRPr="00C61189">
        <w:rPr>
          <w:rFonts w:cstheme="minorHAnsi"/>
          <w:sz w:val="24"/>
          <w:szCs w:val="24"/>
        </w:rPr>
        <w:t xml:space="preserve">according to its verdict, </w:t>
      </w:r>
    </w:p>
    <w:p w:rsidR="00C61189" w:rsidRPr="00C61189" w:rsidRDefault="00A724A8" w:rsidP="00C61189">
      <w:pPr>
        <w:pStyle w:val="Default"/>
        <w:jc w:val="center"/>
        <w:rPr>
          <w:rFonts w:asciiTheme="minorHAnsi" w:hAnsiTheme="minorHAnsi" w:cstheme="minorHAnsi"/>
          <w:i/>
          <w:iCs/>
        </w:rPr>
      </w:pPr>
      <w:r w:rsidRPr="00C61189">
        <w:rPr>
          <w:rFonts w:asciiTheme="minorHAnsi" w:hAnsiTheme="minorHAnsi" w:cstheme="minorHAnsi"/>
          <w:i/>
          <w:iCs/>
        </w:rPr>
        <w:t>"</w:t>
      </w:r>
      <w:r w:rsidR="00C61189" w:rsidRPr="00C61189">
        <w:rPr>
          <w:rFonts w:asciiTheme="minorHAnsi" w:hAnsiTheme="minorHAnsi" w:cstheme="minorHAnsi"/>
          <w:i/>
          <w:iCs/>
        </w:rPr>
        <w:t xml:space="preserve"> Temple of </w:t>
      </w:r>
      <w:proofErr w:type="spellStart"/>
      <w:r w:rsidR="00C61189" w:rsidRPr="00C61189">
        <w:rPr>
          <w:rFonts w:asciiTheme="minorHAnsi" w:hAnsiTheme="minorHAnsi" w:cstheme="minorHAnsi"/>
          <w:i/>
          <w:iCs/>
        </w:rPr>
        <w:t>Preah</w:t>
      </w:r>
      <w:proofErr w:type="spellEnd"/>
      <w:r w:rsidR="00C61189" w:rsidRPr="00C61189">
        <w:rPr>
          <w:rFonts w:asciiTheme="minorHAnsi" w:hAnsiTheme="minorHAnsi" w:cstheme="minorHAnsi"/>
          <w:i/>
          <w:iCs/>
        </w:rPr>
        <w:t xml:space="preserve"> </w:t>
      </w:r>
      <w:proofErr w:type="spellStart"/>
      <w:r w:rsidR="00C61189" w:rsidRPr="00C61189">
        <w:rPr>
          <w:rFonts w:asciiTheme="minorHAnsi" w:hAnsiTheme="minorHAnsi" w:cstheme="minorHAnsi"/>
          <w:i/>
          <w:iCs/>
        </w:rPr>
        <w:t>Vihear</w:t>
      </w:r>
      <w:proofErr w:type="spellEnd"/>
      <w:r w:rsidR="00C61189" w:rsidRPr="00C61189">
        <w:rPr>
          <w:rFonts w:asciiTheme="minorHAnsi" w:hAnsiTheme="minorHAnsi" w:cstheme="minorHAnsi"/>
          <w:i/>
          <w:iCs/>
        </w:rPr>
        <w:t xml:space="preserve"> a UNESCO world heritage site - Cambodia and Thailand must co-operate to protect the site - Each State under obligation not to take any deliberate measures which might damage Temple - Access to Temple from the Cambodian plain to be ensured.”</w:t>
      </w:r>
    </w:p>
    <w:p w:rsidR="00C61189" w:rsidRPr="00C61189" w:rsidRDefault="00C61189" w:rsidP="00C61189">
      <w:pPr>
        <w:pStyle w:val="Default"/>
        <w:jc w:val="center"/>
        <w:rPr>
          <w:rFonts w:asciiTheme="minorHAnsi" w:hAnsiTheme="minorHAnsi" w:cstheme="minorHAnsi"/>
        </w:rPr>
      </w:pPr>
    </w:p>
    <w:p w:rsidR="00A724A8" w:rsidRPr="00C61189" w:rsidRDefault="00A724A8" w:rsidP="00C61189">
      <w:pPr>
        <w:ind w:firstLine="720"/>
        <w:jc w:val="thaiDistribute"/>
        <w:rPr>
          <w:rFonts w:cstheme="minorHAnsi"/>
          <w:sz w:val="24"/>
          <w:szCs w:val="24"/>
        </w:rPr>
      </w:pPr>
      <w:r w:rsidRPr="00C61189">
        <w:rPr>
          <w:rFonts w:cstheme="minorHAnsi"/>
          <w:sz w:val="24"/>
          <w:szCs w:val="24"/>
        </w:rPr>
        <w:t xml:space="preserve">However, the verdict allows both parties to negotiate the temple vicinity and therefore the territory. To achieve the economic optimum, one possible way could be making Temple of </w:t>
      </w:r>
      <w:proofErr w:type="spellStart"/>
      <w:r w:rsidRPr="00C61189">
        <w:rPr>
          <w:rFonts w:cstheme="minorHAnsi"/>
          <w:sz w:val="24"/>
          <w:szCs w:val="24"/>
        </w:rPr>
        <w:t>Preah</w:t>
      </w:r>
      <w:proofErr w:type="spellEnd"/>
      <w:r w:rsidRPr="00C61189">
        <w:rPr>
          <w:rFonts w:cstheme="minorHAnsi"/>
          <w:sz w:val="24"/>
          <w:szCs w:val="24"/>
        </w:rPr>
        <w:t xml:space="preserve"> </w:t>
      </w:r>
      <w:proofErr w:type="spellStart"/>
      <w:r w:rsidRPr="00C61189">
        <w:rPr>
          <w:rFonts w:cstheme="minorHAnsi"/>
          <w:sz w:val="24"/>
          <w:szCs w:val="24"/>
        </w:rPr>
        <w:t>Vihear</w:t>
      </w:r>
      <w:proofErr w:type="spellEnd"/>
      <w:r w:rsidRPr="00C61189">
        <w:rPr>
          <w:rFonts w:cstheme="minorHAnsi"/>
          <w:sz w:val="24"/>
          <w:szCs w:val="24"/>
        </w:rPr>
        <w:t>, a trans-boundary heritage site which both parties can cooperate and maximize the value of joint resources and output.</w:t>
      </w:r>
    </w:p>
    <w:p w:rsidR="00A13174" w:rsidRPr="00C61189" w:rsidRDefault="00A13174" w:rsidP="00143D1B">
      <w:pPr>
        <w:rPr>
          <w:rFonts w:cstheme="minorHAnsi"/>
          <w:sz w:val="24"/>
          <w:szCs w:val="24"/>
        </w:rPr>
      </w:pPr>
    </w:p>
    <w:sectPr w:rsidR="00A13174" w:rsidRPr="00C61189" w:rsidSect="00C61189">
      <w:headerReference w:type="default" r:id="rId8"/>
      <w:pgSz w:w="11906" w:h="16838"/>
      <w:pgMar w:top="1560" w:right="1440" w:bottom="56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844" w:rsidRDefault="00E00844" w:rsidP="001F1808">
      <w:pPr>
        <w:spacing w:after="0" w:line="240" w:lineRule="auto"/>
      </w:pPr>
      <w:r>
        <w:separator/>
      </w:r>
    </w:p>
  </w:endnote>
  <w:endnote w:type="continuationSeparator" w:id="0">
    <w:p w:rsidR="00E00844" w:rsidRDefault="00E00844" w:rsidP="001F1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Sabon-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844" w:rsidRDefault="00E00844" w:rsidP="001F1808">
      <w:pPr>
        <w:spacing w:after="0" w:line="240" w:lineRule="auto"/>
      </w:pPr>
      <w:r>
        <w:separator/>
      </w:r>
    </w:p>
  </w:footnote>
  <w:footnote w:type="continuationSeparator" w:id="0">
    <w:p w:rsidR="00E00844" w:rsidRDefault="00E00844" w:rsidP="001F1808">
      <w:pPr>
        <w:spacing w:after="0" w:line="240" w:lineRule="auto"/>
      </w:pPr>
      <w:r>
        <w:continuationSeparator/>
      </w:r>
    </w:p>
  </w:footnote>
  <w:footnote w:id="1">
    <w:p w:rsidR="009845B3" w:rsidRPr="00C61189" w:rsidRDefault="009845B3">
      <w:pPr>
        <w:pStyle w:val="a3"/>
        <w:rPr>
          <w:b/>
          <w:bCs/>
          <w:sz w:val="18"/>
          <w:szCs w:val="18"/>
        </w:rPr>
      </w:pPr>
      <w:r w:rsidRPr="00C61189">
        <w:rPr>
          <w:rStyle w:val="a5"/>
          <w:sz w:val="18"/>
          <w:szCs w:val="18"/>
        </w:rPr>
        <w:footnoteRef/>
      </w:r>
      <w:r w:rsidRPr="00C61189">
        <w:rPr>
          <w:sz w:val="18"/>
          <w:szCs w:val="18"/>
        </w:rPr>
        <w:t xml:space="preserve"> </w:t>
      </w:r>
      <w:proofErr w:type="gramStart"/>
      <w:r w:rsidRPr="00C61189">
        <w:rPr>
          <w:sz w:val="18"/>
          <w:szCs w:val="18"/>
        </w:rPr>
        <w:t>International Court of Justice.</w:t>
      </w:r>
      <w:proofErr w:type="gramEnd"/>
      <w:r w:rsidRPr="00C61189">
        <w:rPr>
          <w:sz w:val="18"/>
          <w:szCs w:val="18"/>
        </w:rPr>
        <w:t xml:space="preserve"> </w:t>
      </w:r>
      <w:proofErr w:type="gramStart"/>
      <w:r w:rsidRPr="00C61189">
        <w:rPr>
          <w:i/>
          <w:iCs/>
          <w:sz w:val="18"/>
          <w:szCs w:val="18"/>
        </w:rPr>
        <w:t>The Court</w:t>
      </w:r>
      <w:r w:rsidRPr="00C61189">
        <w:rPr>
          <w:sz w:val="18"/>
          <w:szCs w:val="18"/>
        </w:rPr>
        <w:t>.</w:t>
      </w:r>
      <w:proofErr w:type="gramEnd"/>
      <w:r w:rsidRPr="00C61189">
        <w:rPr>
          <w:sz w:val="18"/>
          <w:szCs w:val="18"/>
        </w:rPr>
        <w:t xml:space="preserve"> </w:t>
      </w:r>
      <w:proofErr w:type="gramStart"/>
      <w:r w:rsidRPr="00C61189">
        <w:rPr>
          <w:sz w:val="18"/>
          <w:szCs w:val="18"/>
        </w:rPr>
        <w:t xml:space="preserve">Retrieved from </w:t>
      </w:r>
      <w:hyperlink r:id="rId1" w:history="1">
        <w:r w:rsidRPr="00C61189">
          <w:rPr>
            <w:rStyle w:val="ac"/>
            <w:sz w:val="18"/>
            <w:szCs w:val="18"/>
          </w:rPr>
          <w:t>http://www.icj-cij.org/court/index.php?p1=1</w:t>
        </w:r>
      </w:hyperlink>
      <w:r w:rsidRPr="00C61189">
        <w:rPr>
          <w:sz w:val="18"/>
          <w:szCs w:val="18"/>
        </w:rPr>
        <w:t xml:space="preserve"> on Nov 15, 2013.</w:t>
      </w:r>
      <w:proofErr w:type="gramEnd"/>
    </w:p>
  </w:footnote>
  <w:footnote w:id="2">
    <w:p w:rsidR="00EC6111" w:rsidRPr="00C61189" w:rsidRDefault="00EC6111">
      <w:pPr>
        <w:pStyle w:val="a3"/>
        <w:rPr>
          <w:sz w:val="18"/>
          <w:szCs w:val="18"/>
        </w:rPr>
      </w:pPr>
      <w:r w:rsidRPr="00C61189">
        <w:rPr>
          <w:rStyle w:val="a5"/>
          <w:sz w:val="18"/>
          <w:szCs w:val="18"/>
        </w:rPr>
        <w:footnoteRef/>
      </w:r>
      <w:r w:rsidRPr="00C61189">
        <w:rPr>
          <w:sz w:val="18"/>
          <w:szCs w:val="18"/>
        </w:rPr>
        <w:t xml:space="preserve"> </w:t>
      </w:r>
      <w:r w:rsidR="00A724A8" w:rsidRPr="00C61189">
        <w:rPr>
          <w:sz w:val="18"/>
          <w:szCs w:val="18"/>
        </w:rPr>
        <w:t xml:space="preserve">Posner, Eric A. and de </w:t>
      </w:r>
      <w:proofErr w:type="spellStart"/>
      <w:r w:rsidR="00A724A8" w:rsidRPr="00C61189">
        <w:rPr>
          <w:sz w:val="18"/>
          <w:szCs w:val="18"/>
        </w:rPr>
        <w:t>Figueiredo</w:t>
      </w:r>
      <w:proofErr w:type="spellEnd"/>
      <w:r w:rsidR="00A724A8" w:rsidRPr="00C61189">
        <w:rPr>
          <w:sz w:val="18"/>
          <w:szCs w:val="18"/>
        </w:rPr>
        <w:t>, Miguel, Is the International Court of Justice Biased? (December 2004). U Chicago Law &amp; Economics, Olin Working Paper No. 234. Available at SSRN: http://ssrn.com/abstract=642581 or http://dx.doi.org/10.2139/ssrn.642581</w:t>
      </w:r>
    </w:p>
  </w:footnote>
  <w:footnote w:id="3">
    <w:p w:rsidR="0027630B" w:rsidRDefault="0027630B">
      <w:pPr>
        <w:pStyle w:val="a3"/>
      </w:pPr>
      <w:r w:rsidRPr="00C61189">
        <w:rPr>
          <w:rStyle w:val="a5"/>
          <w:sz w:val="18"/>
          <w:szCs w:val="18"/>
        </w:rPr>
        <w:footnoteRef/>
      </w:r>
      <w:r w:rsidRPr="00C61189">
        <w:rPr>
          <w:sz w:val="18"/>
          <w:szCs w:val="18"/>
        </w:rPr>
        <w:t xml:space="preserve"> </w:t>
      </w:r>
      <w:r w:rsidR="00A724A8" w:rsidRPr="00C61189">
        <w:rPr>
          <w:sz w:val="18"/>
          <w:szCs w:val="18"/>
        </w:rPr>
        <w:t xml:space="preserve">Posner &amp; de </w:t>
      </w:r>
      <w:proofErr w:type="spellStart"/>
      <w:r w:rsidR="00A724A8" w:rsidRPr="00C61189">
        <w:rPr>
          <w:sz w:val="18"/>
          <w:szCs w:val="18"/>
        </w:rPr>
        <w:t>Figueiredo</w:t>
      </w:r>
      <w:proofErr w:type="spellEnd"/>
      <w:r w:rsidR="00A724A8" w:rsidRPr="00C61189">
        <w:rPr>
          <w:sz w:val="18"/>
          <w:szCs w:val="18"/>
        </w:rPr>
        <w:t xml:space="preserve"> (2004)</w:t>
      </w:r>
    </w:p>
  </w:footnote>
  <w:footnote w:id="4">
    <w:p w:rsidR="00170838" w:rsidRPr="00170838" w:rsidRDefault="00170838" w:rsidP="00170838">
      <w:pPr>
        <w:autoSpaceDE w:val="0"/>
        <w:autoSpaceDN w:val="0"/>
        <w:adjustRightInd w:val="0"/>
        <w:spacing w:after="0" w:line="240" w:lineRule="auto"/>
        <w:rPr>
          <w:rFonts w:ascii="Sabon-Roman" w:hAnsi="Sabon-Roman" w:cs="Sabon-Roman"/>
          <w:sz w:val="17"/>
          <w:szCs w:val="17"/>
        </w:rPr>
      </w:pPr>
      <w:r>
        <w:rPr>
          <w:rStyle w:val="a5"/>
        </w:rPr>
        <w:footnoteRef/>
      </w:r>
      <w:r>
        <w:t xml:space="preserve"> </w:t>
      </w:r>
      <w:proofErr w:type="gramStart"/>
      <w:r w:rsidRPr="00C61189">
        <w:rPr>
          <w:rFonts w:cstheme="minorHAnsi"/>
          <w:sz w:val="18"/>
          <w:szCs w:val="18"/>
        </w:rPr>
        <w:t>Ginsburg, Tom, and Richard H. McAdams.</w:t>
      </w:r>
      <w:proofErr w:type="gramEnd"/>
      <w:r w:rsidRPr="00C61189">
        <w:rPr>
          <w:rFonts w:cstheme="minorHAnsi"/>
          <w:sz w:val="18"/>
          <w:szCs w:val="18"/>
        </w:rPr>
        <w:t xml:space="preserve"> 2004. Adjudicating in Anarchy: An Expressive Theory of International Dispute Resolution. </w:t>
      </w:r>
      <w:r w:rsidRPr="00C61189">
        <w:rPr>
          <w:rFonts w:cstheme="minorHAnsi"/>
          <w:i/>
          <w:iCs/>
          <w:sz w:val="18"/>
          <w:szCs w:val="18"/>
        </w:rPr>
        <w:t xml:space="preserve">William and Mary Law Review </w:t>
      </w:r>
      <w:r w:rsidRPr="00C61189">
        <w:rPr>
          <w:rFonts w:cstheme="minorHAnsi"/>
          <w:sz w:val="18"/>
          <w:szCs w:val="18"/>
        </w:rPr>
        <w:t>45:1229–1339.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5B3" w:rsidRDefault="009845B3" w:rsidP="009845B3">
    <w:pPr>
      <w:pStyle w:val="a6"/>
      <w:jc w:val="right"/>
    </w:pPr>
    <w:r>
      <w:ptab w:relativeTo="margin" w:alignment="center" w:leader="none"/>
    </w:r>
    <w:r>
      <w:ptab w:relativeTo="margin" w:alignment="right" w:leader="none"/>
    </w:r>
    <w:r>
      <w:t xml:space="preserve">5504640417 </w:t>
    </w:r>
    <w:proofErr w:type="spellStart"/>
    <w:r>
      <w:t>Kantheera</w:t>
    </w:r>
    <w:proofErr w:type="spellEnd"/>
    <w:r>
      <w:t xml:space="preserve"> </w:t>
    </w:r>
    <w:proofErr w:type="spellStart"/>
    <w:r>
      <w:t>Tipkanjanarat</w:t>
    </w:r>
    <w:proofErr w:type="spellEnd"/>
    <w:r>
      <w:br/>
      <w:t>EE403 1/2013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7D2A54"/>
    <w:rsid w:val="00066A04"/>
    <w:rsid w:val="00143D1B"/>
    <w:rsid w:val="00170838"/>
    <w:rsid w:val="0019223F"/>
    <w:rsid w:val="001A563E"/>
    <w:rsid w:val="001F1808"/>
    <w:rsid w:val="0027630B"/>
    <w:rsid w:val="0029611B"/>
    <w:rsid w:val="003000E3"/>
    <w:rsid w:val="003918D8"/>
    <w:rsid w:val="003E1208"/>
    <w:rsid w:val="004045D1"/>
    <w:rsid w:val="004364FC"/>
    <w:rsid w:val="004D2607"/>
    <w:rsid w:val="00512073"/>
    <w:rsid w:val="00652ECA"/>
    <w:rsid w:val="006543D8"/>
    <w:rsid w:val="007C6675"/>
    <w:rsid w:val="007D2A54"/>
    <w:rsid w:val="0081030B"/>
    <w:rsid w:val="008708CB"/>
    <w:rsid w:val="00914697"/>
    <w:rsid w:val="00923089"/>
    <w:rsid w:val="009845B3"/>
    <w:rsid w:val="009A7C34"/>
    <w:rsid w:val="009E6E9E"/>
    <w:rsid w:val="00A13174"/>
    <w:rsid w:val="00A33846"/>
    <w:rsid w:val="00A61977"/>
    <w:rsid w:val="00A66F0F"/>
    <w:rsid w:val="00A724A8"/>
    <w:rsid w:val="00C14392"/>
    <w:rsid w:val="00C61189"/>
    <w:rsid w:val="00CA033D"/>
    <w:rsid w:val="00D55BEB"/>
    <w:rsid w:val="00DB41A3"/>
    <w:rsid w:val="00E00844"/>
    <w:rsid w:val="00E6280A"/>
    <w:rsid w:val="00EC6111"/>
    <w:rsid w:val="00F2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4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F1808"/>
    <w:pPr>
      <w:spacing w:after="0" w:line="240" w:lineRule="auto"/>
    </w:pPr>
    <w:rPr>
      <w:sz w:val="20"/>
      <w:szCs w:val="25"/>
    </w:rPr>
  </w:style>
  <w:style w:type="character" w:customStyle="1" w:styleId="a4">
    <w:name w:val="ข้อความเชิงอรรถ อักขระ"/>
    <w:basedOn w:val="a0"/>
    <w:link w:val="a3"/>
    <w:uiPriority w:val="99"/>
    <w:semiHidden/>
    <w:rsid w:val="001F1808"/>
    <w:rPr>
      <w:sz w:val="20"/>
      <w:szCs w:val="25"/>
    </w:rPr>
  </w:style>
  <w:style w:type="character" w:styleId="a5">
    <w:name w:val="footnote reference"/>
    <w:basedOn w:val="a0"/>
    <w:uiPriority w:val="99"/>
    <w:semiHidden/>
    <w:unhideWhenUsed/>
    <w:rsid w:val="001F1808"/>
    <w:rPr>
      <w:sz w:val="32"/>
      <w:szCs w:val="32"/>
      <w:vertAlign w:val="superscript"/>
    </w:rPr>
  </w:style>
  <w:style w:type="paragraph" w:customStyle="1" w:styleId="Default">
    <w:name w:val="Default"/>
    <w:rsid w:val="006543D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semiHidden/>
    <w:unhideWhenUsed/>
    <w:rsid w:val="009845B3"/>
    <w:pPr>
      <w:tabs>
        <w:tab w:val="center" w:pos="4680"/>
        <w:tab w:val="right" w:pos="9360"/>
      </w:tabs>
      <w:spacing w:after="0" w:line="240" w:lineRule="auto"/>
    </w:pPr>
  </w:style>
  <w:style w:type="character" w:customStyle="1" w:styleId="a7">
    <w:name w:val="หัวกระดาษ อักขระ"/>
    <w:basedOn w:val="a0"/>
    <w:link w:val="a6"/>
    <w:uiPriority w:val="99"/>
    <w:semiHidden/>
    <w:rsid w:val="009845B3"/>
  </w:style>
  <w:style w:type="paragraph" w:styleId="a8">
    <w:name w:val="footer"/>
    <w:basedOn w:val="a"/>
    <w:link w:val="a9"/>
    <w:uiPriority w:val="99"/>
    <w:semiHidden/>
    <w:unhideWhenUsed/>
    <w:rsid w:val="009845B3"/>
    <w:pPr>
      <w:tabs>
        <w:tab w:val="center" w:pos="4680"/>
        <w:tab w:val="right" w:pos="9360"/>
      </w:tabs>
      <w:spacing w:after="0" w:line="240" w:lineRule="auto"/>
    </w:pPr>
  </w:style>
  <w:style w:type="character" w:customStyle="1" w:styleId="a9">
    <w:name w:val="ท้ายกระดาษ อักขระ"/>
    <w:basedOn w:val="a0"/>
    <w:link w:val="a8"/>
    <w:uiPriority w:val="99"/>
    <w:semiHidden/>
    <w:rsid w:val="009845B3"/>
  </w:style>
  <w:style w:type="paragraph" w:styleId="aa">
    <w:name w:val="Balloon Text"/>
    <w:basedOn w:val="a"/>
    <w:link w:val="ab"/>
    <w:uiPriority w:val="99"/>
    <w:semiHidden/>
    <w:unhideWhenUsed/>
    <w:rsid w:val="009845B3"/>
    <w:pPr>
      <w:spacing w:after="0" w:line="240" w:lineRule="auto"/>
    </w:pPr>
    <w:rPr>
      <w:rFonts w:ascii="Tahoma" w:hAnsi="Tahoma" w:cs="Angsana New"/>
      <w:sz w:val="16"/>
      <w:szCs w:val="20"/>
    </w:rPr>
  </w:style>
  <w:style w:type="character" w:customStyle="1" w:styleId="ab">
    <w:name w:val="ข้อความบอลลูน อักขระ"/>
    <w:basedOn w:val="a0"/>
    <w:link w:val="aa"/>
    <w:uiPriority w:val="99"/>
    <w:semiHidden/>
    <w:rsid w:val="009845B3"/>
    <w:rPr>
      <w:rFonts w:ascii="Tahoma" w:hAnsi="Tahoma" w:cs="Angsana New"/>
      <w:sz w:val="16"/>
      <w:szCs w:val="20"/>
    </w:rPr>
  </w:style>
  <w:style w:type="character" w:styleId="ac">
    <w:name w:val="Hyperlink"/>
    <w:basedOn w:val="a0"/>
    <w:uiPriority w:val="99"/>
    <w:unhideWhenUsed/>
    <w:rsid w:val="009845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F1808"/>
    <w:pPr>
      <w:spacing w:after="0" w:line="240" w:lineRule="auto"/>
    </w:pPr>
    <w:rPr>
      <w:sz w:val="20"/>
      <w:szCs w:val="25"/>
    </w:rPr>
  </w:style>
  <w:style w:type="character" w:customStyle="1" w:styleId="a4">
    <w:name w:val="ข้อความเชิงอรรถ อักขระ"/>
    <w:basedOn w:val="a0"/>
    <w:link w:val="a3"/>
    <w:uiPriority w:val="99"/>
    <w:semiHidden/>
    <w:rsid w:val="001F1808"/>
    <w:rPr>
      <w:sz w:val="20"/>
      <w:szCs w:val="25"/>
    </w:rPr>
  </w:style>
  <w:style w:type="character" w:styleId="a5">
    <w:name w:val="footnote reference"/>
    <w:basedOn w:val="a0"/>
    <w:uiPriority w:val="99"/>
    <w:semiHidden/>
    <w:unhideWhenUsed/>
    <w:rsid w:val="001F1808"/>
    <w:rPr>
      <w:sz w:val="32"/>
      <w:szCs w:val="32"/>
      <w:vertAlign w:val="superscript"/>
    </w:rPr>
  </w:style>
  <w:style w:type="paragraph" w:customStyle="1" w:styleId="Default">
    <w:name w:val="Default"/>
    <w:rsid w:val="006543D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j-cij.org/court/index.php?p1=1"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E5B1A-5613-41E7-B12C-01498756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dc:creator>
  <cp:lastModifiedBy>tulib</cp:lastModifiedBy>
  <cp:revision>3</cp:revision>
  <cp:lastPrinted>2013-11-29T05:57:00Z</cp:lastPrinted>
  <dcterms:created xsi:type="dcterms:W3CDTF">2013-11-29T06:09:00Z</dcterms:created>
  <dcterms:modified xsi:type="dcterms:W3CDTF">2013-12-11T09:45:00Z</dcterms:modified>
</cp:coreProperties>
</file>